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80" w:before="80" w:lineRule="auto"/>
        <w:jc w:val="center"/>
        <w:rPr>
          <w:color w:val="1155cc"/>
          <w:sz w:val="18"/>
          <w:szCs w:val="18"/>
          <w:u w:val="single"/>
        </w:rPr>
      </w:pPr>
      <w:hyperlink r:id="rId6">
        <w:r w:rsidDel="00000000" w:rsidR="00000000" w:rsidRPr="00000000">
          <w:rPr>
            <w:color w:val="1155cc"/>
            <w:sz w:val="18"/>
            <w:szCs w:val="18"/>
            <w:u w:val="single"/>
            <w:rtl w:val="0"/>
          </w:rPr>
          <w:t xml:space="preserve">Уголовный кодекс Российской Федерации от 13 июня 1996 г. N 63-ФЗ (УК РФ) (с изменениями и дополнениями)</w:t>
        </w:r>
      </w:hyperlink>
      <w:r w:rsidDel="00000000" w:rsidR="00000000" w:rsidRPr="00000000">
        <w:rPr>
          <w:rtl w:val="0"/>
        </w:rPr>
      </w:r>
    </w:p>
    <w:p w:rsidR="00000000" w:rsidDel="00000000" w:rsidP="00000000" w:rsidRDefault="00000000" w:rsidRPr="00000000" w14:paraId="00000002">
      <w:pPr>
        <w:spacing w:after="80" w:before="80" w:lineRule="auto"/>
        <w:jc w:val="center"/>
        <w:rPr>
          <w:color w:val="1155cc"/>
          <w:sz w:val="18"/>
          <w:szCs w:val="18"/>
          <w:u w:val="single"/>
        </w:rPr>
      </w:pPr>
      <w:hyperlink r:id="rId7">
        <w:r w:rsidDel="00000000" w:rsidR="00000000" w:rsidRPr="00000000">
          <w:rPr>
            <w:color w:val="1155cc"/>
            <w:sz w:val="18"/>
            <w:szCs w:val="18"/>
            <w:u w:val="single"/>
            <w:rtl w:val="0"/>
          </w:rPr>
          <w:t xml:space="preserve">Особенная часть (ст. 105-361)</w:t>
        </w:r>
      </w:hyperlink>
      <w:r w:rsidDel="00000000" w:rsidR="00000000" w:rsidRPr="00000000">
        <w:rPr>
          <w:rtl w:val="0"/>
        </w:rPr>
      </w:r>
    </w:p>
    <w:p w:rsidR="00000000" w:rsidDel="00000000" w:rsidP="00000000" w:rsidRDefault="00000000" w:rsidRPr="00000000" w14:paraId="00000003">
      <w:pPr>
        <w:spacing w:after="80" w:before="80" w:lineRule="auto"/>
        <w:jc w:val="center"/>
        <w:rPr>
          <w:color w:val="1155cc"/>
          <w:sz w:val="18"/>
          <w:szCs w:val="18"/>
          <w:u w:val="single"/>
        </w:rPr>
      </w:pPr>
      <w:hyperlink r:id="rId8">
        <w:r w:rsidDel="00000000" w:rsidR="00000000" w:rsidRPr="00000000">
          <w:rPr>
            <w:color w:val="1155cc"/>
            <w:sz w:val="18"/>
            <w:szCs w:val="18"/>
            <w:u w:val="single"/>
            <w:rtl w:val="0"/>
          </w:rPr>
          <w:t xml:space="preserve">Раздел VII. Преступления против личности (ст. 105-157)</w:t>
        </w:r>
      </w:hyperlink>
      <w:r w:rsidDel="00000000" w:rsidR="00000000" w:rsidRPr="00000000">
        <w:rPr>
          <w:rtl w:val="0"/>
        </w:rPr>
      </w:r>
    </w:p>
    <w:p w:rsidR="00000000" w:rsidDel="00000000" w:rsidP="00000000" w:rsidRDefault="00000000" w:rsidRPr="00000000" w14:paraId="00000004">
      <w:pPr>
        <w:spacing w:after="80" w:before="80" w:lineRule="auto"/>
        <w:jc w:val="center"/>
        <w:rPr>
          <w:color w:val="1155cc"/>
          <w:sz w:val="18"/>
          <w:szCs w:val="18"/>
          <w:u w:val="single"/>
        </w:rPr>
      </w:pPr>
      <w:hyperlink r:id="rId9">
        <w:r w:rsidDel="00000000" w:rsidR="00000000" w:rsidRPr="00000000">
          <w:rPr>
            <w:color w:val="1155cc"/>
            <w:sz w:val="18"/>
            <w:szCs w:val="18"/>
            <w:u w:val="single"/>
            <w:rtl w:val="0"/>
          </w:rPr>
          <w:t xml:space="preserve">Глава 19. Преступления против конституционных прав и свобод человека и гражданина (ст. 136-149)</w:t>
        </w:r>
      </w:hyperlink>
      <w:r w:rsidDel="00000000" w:rsidR="00000000" w:rsidRPr="00000000">
        <w:rPr>
          <w:rtl w:val="0"/>
        </w:rPr>
      </w:r>
    </w:p>
    <w:p w:rsidR="00000000" w:rsidDel="00000000" w:rsidP="00000000" w:rsidRDefault="00000000" w:rsidRPr="00000000" w14:paraId="00000005">
      <w:pPr>
        <w:spacing w:after="80" w:before="80" w:lineRule="auto"/>
        <w:jc w:val="center"/>
        <w:rPr>
          <w:color w:val="1155cc"/>
          <w:sz w:val="18"/>
          <w:szCs w:val="18"/>
          <w:u w:val="single"/>
        </w:rPr>
      </w:pPr>
      <w:hyperlink r:id="rId10">
        <w:r w:rsidDel="00000000" w:rsidR="00000000" w:rsidRPr="00000000">
          <w:rPr>
            <w:color w:val="1155cc"/>
            <w:sz w:val="18"/>
            <w:szCs w:val="18"/>
            <w:u w:val="single"/>
            <w:rtl w:val="0"/>
          </w:rPr>
          <w:t xml:space="preserve">Статья 143. Нарушение требований охраны труда</w:t>
        </w:r>
      </w:hyperlink>
      <w:r w:rsidDel="00000000" w:rsidR="00000000" w:rsidRPr="00000000">
        <w:rPr>
          <w:rtl w:val="0"/>
        </w:rPr>
      </w:r>
    </w:p>
    <w:p w:rsidR="00000000" w:rsidDel="00000000" w:rsidP="00000000" w:rsidRDefault="00000000" w:rsidRPr="00000000" w14:paraId="00000006">
      <w:pPr>
        <w:ind w:left="1860" w:hanging="660"/>
        <w:jc w:val="both"/>
        <w:rPr>
          <w:sz w:val="18"/>
          <w:szCs w:val="18"/>
        </w:rPr>
      </w:pPr>
      <w:r w:rsidDel="00000000" w:rsidR="00000000" w:rsidRPr="00000000">
        <w:rPr>
          <w:b w:val="1"/>
          <w:sz w:val="18"/>
          <w:szCs w:val="18"/>
          <w:rtl w:val="0"/>
        </w:rPr>
        <w:t xml:space="preserve">Статья 143.</w:t>
      </w:r>
      <w:r w:rsidDel="00000000" w:rsidR="00000000" w:rsidRPr="00000000">
        <w:rPr>
          <w:sz w:val="18"/>
          <w:szCs w:val="18"/>
          <w:rtl w:val="0"/>
        </w:rPr>
        <w:t xml:space="preserve"> Нарушение требований охраны труда</w:t>
      </w:r>
    </w:p>
    <w:p w:rsidR="00000000" w:rsidDel="00000000" w:rsidP="00000000" w:rsidRDefault="00000000" w:rsidRPr="00000000" w14:paraId="00000007">
      <w:pPr>
        <w:spacing w:before="60" w:lineRule="auto"/>
        <w:ind w:left="120" w:firstLine="0"/>
        <w:jc w:val="both"/>
        <w:rPr>
          <w:sz w:val="12"/>
          <w:szCs w:val="12"/>
        </w:rPr>
      </w:pPr>
      <w:r w:rsidDel="00000000" w:rsidR="00000000" w:rsidRPr="00000000">
        <w:rPr>
          <w:sz w:val="12"/>
          <w:szCs w:val="12"/>
          <w:rtl w:val="0"/>
        </w:rPr>
        <w:t xml:space="preserve">ГАРАНТ:</w:t>
      </w:r>
    </w:p>
    <w:p w:rsidR="00000000" w:rsidDel="00000000" w:rsidP="00000000" w:rsidRDefault="00000000" w:rsidRPr="00000000" w14:paraId="00000008">
      <w:pPr>
        <w:spacing w:before="60" w:lineRule="auto"/>
        <w:ind w:left="120" w:firstLine="0"/>
        <w:jc w:val="both"/>
        <w:rPr>
          <w:sz w:val="18"/>
          <w:szCs w:val="18"/>
        </w:rPr>
      </w:pPr>
      <w:r w:rsidDel="00000000" w:rsidR="00000000" w:rsidRPr="00000000">
        <w:rPr>
          <w:sz w:val="18"/>
          <w:szCs w:val="18"/>
          <w:rtl w:val="0"/>
        </w:rPr>
        <w:t xml:space="preserve"> О судебной практике по уголовным делам о нарушениях требований охраны труда, правил безопасности при ведении строительных или иных работ либо требований промышленной безопасности опасных производственных объектов см.</w:t>
      </w:r>
      <w:hyperlink r:id="rId11">
        <w:r w:rsidDel="00000000" w:rsidR="00000000" w:rsidRPr="00000000">
          <w:rPr>
            <w:sz w:val="18"/>
            <w:szCs w:val="18"/>
            <w:rtl w:val="0"/>
          </w:rPr>
          <w:t xml:space="preserve"> </w:t>
        </w:r>
      </w:hyperlink>
      <w:hyperlink r:id="rId12">
        <w:r w:rsidDel="00000000" w:rsidR="00000000" w:rsidRPr="00000000">
          <w:rPr>
            <w:color w:val="1155cc"/>
            <w:sz w:val="18"/>
            <w:szCs w:val="18"/>
            <w:u w:val="single"/>
            <w:rtl w:val="0"/>
          </w:rPr>
          <w:t xml:space="preserve">постановление</w:t>
        </w:r>
      </w:hyperlink>
      <w:r w:rsidDel="00000000" w:rsidR="00000000" w:rsidRPr="00000000">
        <w:rPr>
          <w:sz w:val="18"/>
          <w:szCs w:val="18"/>
          <w:rtl w:val="0"/>
        </w:rPr>
        <w:t xml:space="preserve"> Пленума Верховного Суда РФ от 29 ноября 2018 г. N 41</w:t>
      </w:r>
    </w:p>
    <w:p w:rsidR="00000000" w:rsidDel="00000000" w:rsidP="00000000" w:rsidRDefault="00000000" w:rsidRPr="00000000" w14:paraId="00000009">
      <w:pPr>
        <w:spacing w:before="60" w:lineRule="auto"/>
        <w:ind w:left="120" w:firstLine="0"/>
        <w:jc w:val="both"/>
        <w:rPr>
          <w:sz w:val="18"/>
          <w:szCs w:val="18"/>
        </w:rPr>
      </w:pPr>
      <w:r w:rsidDel="00000000" w:rsidR="00000000" w:rsidRPr="00000000">
        <w:rPr>
          <w:sz w:val="18"/>
          <w:szCs w:val="18"/>
          <w:rtl w:val="0"/>
        </w:rPr>
        <w:t xml:space="preserve"> См. комментарии к статье 143 УК РФ</w:t>
      </w:r>
    </w:p>
    <w:p w:rsidR="00000000" w:rsidDel="00000000" w:rsidP="00000000" w:rsidRDefault="00000000" w:rsidRPr="00000000" w14:paraId="0000000A">
      <w:pPr>
        <w:ind w:firstLine="540"/>
        <w:jc w:val="both"/>
        <w:rPr>
          <w:sz w:val="18"/>
          <w:szCs w:val="18"/>
        </w:rPr>
      </w:pPr>
      <w:r w:rsidDel="00000000" w:rsidR="00000000" w:rsidRPr="00000000">
        <w:rPr>
          <w:sz w:val="18"/>
          <w:szCs w:val="18"/>
          <w:rtl w:val="0"/>
        </w:rPr>
        <w:t xml:space="preserve">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000000" w:rsidDel="00000000" w:rsidP="00000000" w:rsidRDefault="00000000" w:rsidRPr="00000000" w14:paraId="0000000B">
      <w:pPr>
        <w:ind w:firstLine="540"/>
        <w:jc w:val="both"/>
        <w:rPr>
          <w:sz w:val="18"/>
          <w:szCs w:val="18"/>
        </w:rPr>
      </w:pPr>
      <w:r w:rsidDel="00000000" w:rsidR="00000000" w:rsidRPr="00000000">
        <w:rPr>
          <w:sz w:val="18"/>
          <w:szCs w:val="18"/>
          <w:rtl w:val="0"/>
        </w:rPr>
        <w:t xml:space="preserve">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000000" w:rsidDel="00000000" w:rsidP="00000000" w:rsidRDefault="00000000" w:rsidRPr="00000000" w14:paraId="0000000C">
      <w:pPr>
        <w:ind w:firstLine="540"/>
        <w:jc w:val="both"/>
        <w:rPr>
          <w:sz w:val="18"/>
          <w:szCs w:val="18"/>
        </w:rPr>
      </w:pPr>
      <w:r w:rsidDel="00000000" w:rsidR="00000000" w:rsidRPr="00000000">
        <w:rPr>
          <w:sz w:val="18"/>
          <w:szCs w:val="18"/>
          <w:rtl w:val="0"/>
        </w:rPr>
        <w:t xml:space="preserve">2. Деяние, предусмотренное частью первой настоящей статьи, повлекшее по неосторожности смерть человека, -</w:t>
      </w:r>
    </w:p>
    <w:p w:rsidR="00000000" w:rsidDel="00000000" w:rsidP="00000000" w:rsidRDefault="00000000" w:rsidRPr="00000000" w14:paraId="0000000D">
      <w:pPr>
        <w:ind w:firstLine="540"/>
        <w:jc w:val="both"/>
        <w:rPr>
          <w:sz w:val="18"/>
          <w:szCs w:val="18"/>
        </w:rPr>
      </w:pPr>
      <w:r w:rsidDel="00000000" w:rsidR="00000000" w:rsidRPr="00000000">
        <w:rPr>
          <w:sz w:val="18"/>
          <w:szCs w:val="18"/>
          <w:rtl w:val="0"/>
        </w:rPr>
        <w:t xml:space="preserve">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00000" w:rsidDel="00000000" w:rsidP="00000000" w:rsidRDefault="00000000" w:rsidRPr="00000000" w14:paraId="0000000E">
      <w:pPr>
        <w:ind w:firstLine="540"/>
        <w:jc w:val="both"/>
        <w:rPr>
          <w:sz w:val="18"/>
          <w:szCs w:val="18"/>
        </w:rPr>
      </w:pPr>
      <w:r w:rsidDel="00000000" w:rsidR="00000000" w:rsidRPr="00000000">
        <w:rPr>
          <w:sz w:val="18"/>
          <w:szCs w:val="18"/>
          <w:rtl w:val="0"/>
        </w:rPr>
        <w:t xml:space="preserve">3. Деяние, предусмотренное частью первой настоящей статьи, повлекшее по неосторожности смерть двух или более лиц, -</w:t>
      </w:r>
    </w:p>
    <w:p w:rsidR="00000000" w:rsidDel="00000000" w:rsidP="00000000" w:rsidRDefault="00000000" w:rsidRPr="00000000" w14:paraId="0000000F">
      <w:pPr>
        <w:ind w:firstLine="540"/>
        <w:jc w:val="both"/>
        <w:rPr>
          <w:sz w:val="18"/>
          <w:szCs w:val="18"/>
        </w:rPr>
      </w:pPr>
      <w:r w:rsidDel="00000000" w:rsidR="00000000" w:rsidRPr="00000000">
        <w:rPr>
          <w:sz w:val="18"/>
          <w:szCs w:val="18"/>
          <w:rtl w:val="0"/>
        </w:rPr>
        <w:t xml:space="preserve">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00000" w:rsidDel="00000000" w:rsidP="00000000" w:rsidRDefault="00000000" w:rsidRPr="00000000" w14:paraId="00000010">
      <w:pPr>
        <w:ind w:firstLine="540"/>
        <w:jc w:val="both"/>
        <w:rPr>
          <w:sz w:val="18"/>
          <w:szCs w:val="18"/>
        </w:rPr>
      </w:pPr>
      <w:r w:rsidDel="00000000" w:rsidR="00000000" w:rsidRPr="00000000">
        <w:rPr>
          <w:b w:val="1"/>
          <w:sz w:val="18"/>
          <w:szCs w:val="18"/>
          <w:rtl w:val="0"/>
        </w:rPr>
        <w:t xml:space="preserve">Примечание.</w:t>
      </w:r>
      <w:r w:rsidDel="00000000" w:rsidR="00000000" w:rsidRPr="00000000">
        <w:rPr>
          <w:sz w:val="18"/>
          <w:szCs w:val="18"/>
          <w:rtl w:val="0"/>
        </w:rPr>
        <w:t xml:space="preserve"> Под требованиями охраны труда в настоящей статье понимаются государственные</w:t>
      </w:r>
      <w:hyperlink r:id="rId13">
        <w:r w:rsidDel="00000000" w:rsidR="00000000" w:rsidRPr="00000000">
          <w:rPr>
            <w:sz w:val="18"/>
            <w:szCs w:val="18"/>
            <w:rtl w:val="0"/>
          </w:rPr>
          <w:t xml:space="preserve"> </w:t>
        </w:r>
      </w:hyperlink>
      <w:hyperlink r:id="rId14">
        <w:r w:rsidDel="00000000" w:rsidR="00000000" w:rsidRPr="00000000">
          <w:rPr>
            <w:color w:val="1155cc"/>
            <w:sz w:val="18"/>
            <w:szCs w:val="18"/>
            <w:u w:val="single"/>
            <w:rtl w:val="0"/>
          </w:rPr>
          <w:t xml:space="preserve">нормативные требования охраны труда</w:t>
        </w:r>
      </w:hyperlink>
      <w:r w:rsidDel="00000000" w:rsidR="00000000" w:rsidRPr="00000000">
        <w:rPr>
          <w:sz w:val="18"/>
          <w:szCs w:val="18"/>
          <w:rtl w:val="0"/>
        </w:rPr>
        <w:t xml:space="preserve">,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000000" w:rsidDel="00000000" w:rsidP="00000000" w:rsidRDefault="00000000" w:rsidRPr="00000000" w14:paraId="00000011">
      <w:pPr>
        <w:ind w:firstLine="54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2">
      <w:pPr>
        <w:ind w:firstLine="540"/>
        <w:jc w:val="both"/>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internet.garant.ru/d" TargetMode="External"/><Relationship Id="rId10" Type="http://schemas.openxmlformats.org/officeDocument/2006/relationships/hyperlink" Target="http://internet.garant.ru/document/redirect/10108000/143" TargetMode="External"/><Relationship Id="rId13" Type="http://schemas.openxmlformats.org/officeDocument/2006/relationships/hyperlink" Target="http://internet.garant.ru/document/redirect/992739/0" TargetMode="External"/><Relationship Id="rId12" Type="http://schemas.openxmlformats.org/officeDocument/2006/relationships/hyperlink" Target="http://internet.garant.ru/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nternet.garant.ru/document/redirect/10108000/2019" TargetMode="External"/><Relationship Id="rId14" Type="http://schemas.openxmlformats.org/officeDocument/2006/relationships/hyperlink" Target="http://internet.garant.ru/document/redirect/992739/0" TargetMode="External"/><Relationship Id="rId5" Type="http://schemas.openxmlformats.org/officeDocument/2006/relationships/styles" Target="styles.xml"/><Relationship Id="rId6" Type="http://schemas.openxmlformats.org/officeDocument/2006/relationships/hyperlink" Target="http://internet.garant.ru/document/redirect/10108000/0" TargetMode="External"/><Relationship Id="rId7" Type="http://schemas.openxmlformats.org/officeDocument/2006/relationships/hyperlink" Target="http://internet.garant.ru/document/redirect/10108000/2000" TargetMode="External"/><Relationship Id="rId8" Type="http://schemas.openxmlformats.org/officeDocument/2006/relationships/hyperlink" Target="http://internet.garant.ru/document/redirect/10108000/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